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Gävle kommunfullmäktige</w:t>
      </w:r>
    </w:p>
    <w:p>
      <w:pPr>
        <w:pStyle w:val="Heading1"/>
      </w:pPr>
      <w:r>
        <w:t xml:space="preserve">Tidiga insatser för läsning i årskurs 1–3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Gävle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Var femte elev i Gävle når inte godkänt i svenska årskurs 3 (Skolverket 2023). Tidiga läsinsatser är avgörande för senare skolframgång. Kommunen saknar en samlad strategi för tidig intervention.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Gävle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Gävle kommun inför obligatorisk screening av läsförståelse i årskurs 1.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extra läsundervisning ges till elever som riskerar att inte nå målen.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anställer fler speciallärare med inriktning på läs- och skrivsvårigheter.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av läsinsatserna följs upp årligen och redovisas för barn- och ungdomsnämnden.</w:t>
      </w:r>
    </w:p>
    <w:p>
      <w:pPr>
        <w:spacing w:before="360"/>
      </w:pPr>
    </w:p>
    <w:p>
      <w:r>
        <w:t xml:space="preserve">Gävle,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Gävle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2026-07-14T03:10:34.628Z</dcterms:created>
  <dcterms:modified xsi:type="dcterms:W3CDTF">2026-07-14T03:10:34.628Z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